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276"/>
      </w:tblGrid>
      <w:tr w:rsidR="007C2A8A" w:rsidTr="00BF7D76">
        <w:trPr>
          <w:trHeight w:val="1135"/>
        </w:trPr>
        <w:tc>
          <w:tcPr>
            <w:tcW w:w="3402" w:type="dxa"/>
          </w:tcPr>
          <w:p w:rsidR="007C2A8A" w:rsidRPr="00BF7D76" w:rsidRDefault="00BF7D76" w:rsidP="00BF7D76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BF7D76">
              <w:rPr>
                <w:rFonts w:ascii="Times New Roman" w:hAnsi="Times New Roman" w:cs="Times New Roman"/>
              </w:rPr>
              <w:t>CÔNG  AN TỈNH HÀ NAM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7C2A8A" w:rsidRPr="002C5101" w:rsidRDefault="008A5CE3" w:rsidP="00BF7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5" o:spid="_x0000_s1026" style="position:absolute;left:0;text-align:left;z-index:251664384;visibility:visible;mso-width-relative:margin" from="47.15pt,15.15pt" to="101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F7D76" w:rsidRPr="00BF7D76">
              <w:rPr>
                <w:rFonts w:ascii="Times New Roman" w:hAnsi="Times New Roman" w:cs="Times New Roman"/>
                <w:b/>
              </w:rPr>
              <w:t>CÔNG AN HUYỆN BÌNH LỤC</w:t>
            </w:r>
            <w:r w:rsidR="007C2A8A" w:rsidRPr="00BF7D76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8A5CE3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5.35pt,18.8pt" to="23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276" w:type="dxa"/>
          </w:tcPr>
          <w:p w:rsidR="007C2A8A" w:rsidRPr="00BF7D76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870B50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</w:t>
            </w:r>
            <w:r w:rsidR="00A24061" w:rsidRPr="00BF7D76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20</w:t>
            </w:r>
          </w:p>
          <w:p w:rsidR="007C2A8A" w:rsidRPr="00BF7D76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theo QĐ số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ngày 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60552F"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BF7D7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44931">
      <w:pPr>
        <w:tabs>
          <w:tab w:val="left" w:pos="2478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37112A" w:rsidRPr="003B3F5F" w:rsidRDefault="008A5CE3" w:rsidP="003B3F5F">
      <w:pPr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2pt,19.05pt" to="295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  <w:r w:rsidR="000E2899"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870B50">
        <w:rPr>
          <w:rFonts w:ascii="Times New Roman" w:eastAsia="Batang" w:hAnsi="Times New Roman"/>
          <w:b/>
          <w:bCs/>
          <w:sz w:val="28"/>
          <w:szCs w:val="28"/>
        </w:rPr>
        <w:t>Chuyên</w:t>
      </w:r>
      <w:r w:rsidR="0037112A" w:rsidRPr="003B3F5F">
        <w:rPr>
          <w:rFonts w:ascii="Times New Roman" w:eastAsia="Batang" w:hAnsi="Times New Roman"/>
          <w:b/>
          <w:bCs/>
          <w:sz w:val="28"/>
          <w:szCs w:val="28"/>
        </w:rPr>
        <w:t xml:space="preserve"> đề nghiệp vụ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580557">
        <w:rPr>
          <w:rFonts w:ascii="Times New Roman" w:eastAsia="Batang" w:hAnsi="Times New Roman"/>
          <w:b/>
          <w:bCs/>
          <w:sz w:val="28"/>
          <w:szCs w:val="28"/>
        </w:rPr>
        <w:t>(NV)</w:t>
      </w:r>
    </w:p>
    <w:p w:rsidR="007C2A8A" w:rsidRDefault="007C2A8A" w:rsidP="006A54D4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03">
        <w:rPr>
          <w:rFonts w:ascii="Times New Roman" w:hAnsi="Times New Roman" w:cs="Times New Roman"/>
          <w:sz w:val="28"/>
          <w:szCs w:val="28"/>
        </w:rPr>
        <w:t>34NV1021/11111G</w:t>
      </w:r>
    </w:p>
    <w:p w:rsidR="00B44D3F" w:rsidRPr="001F01D9" w:rsidRDefault="00B44D3F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1D9">
        <w:rPr>
          <w:rFonts w:ascii="Times New Roman" w:hAnsi="Times New Roman" w:cs="Times New Roman"/>
          <w:spacing w:val="-6"/>
          <w:sz w:val="28"/>
          <w:szCs w:val="28"/>
        </w:rPr>
        <w:t xml:space="preserve">Trích yếu: </w:t>
      </w:r>
      <w:bookmarkStart w:id="0" w:name="_GoBack"/>
      <w:r w:rsidR="00810E76" w:rsidRPr="001F01D9">
        <w:rPr>
          <w:rFonts w:ascii="Times New Roman" w:hAnsi="Times New Roman" w:cs="Times New Roman"/>
          <w:spacing w:val="-6"/>
          <w:sz w:val="28"/>
          <w:szCs w:val="28"/>
        </w:rPr>
        <w:t>Hồ sơ</w:t>
      </w:r>
      <w:r w:rsidR="00FC34CD" w:rsidRPr="001F01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4103">
        <w:rPr>
          <w:rFonts w:ascii="Times New Roman" w:hAnsi="Times New Roman" w:cs="Times New Roman"/>
          <w:spacing w:val="-6"/>
          <w:sz w:val="28"/>
          <w:szCs w:val="28"/>
        </w:rPr>
        <w:t>chấm điểm xếp loại công tác hồ sơ nghiệp vụ trong Công an nhân dân.</w:t>
      </w:r>
    </w:p>
    <w:bookmarkEnd w:id="0"/>
    <w:p w:rsidR="007C2A8A" w:rsidRDefault="007C2A8A" w:rsidP="006A54D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CB4103">
        <w:rPr>
          <w:rFonts w:ascii="Times New Roman" w:hAnsi="Times New Roman" w:cs="Times New Roman"/>
          <w:sz w:val="28"/>
          <w:szCs w:val="28"/>
        </w:rPr>
        <w:t>Vũ Thanh Bình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5936"/>
        <w:gridCol w:w="847"/>
        <w:gridCol w:w="849"/>
        <w:gridCol w:w="1125"/>
      </w:tblGrid>
      <w:tr w:rsidR="000E2899" w:rsidRPr="00501425" w:rsidTr="004469A4">
        <w:tc>
          <w:tcPr>
            <w:tcW w:w="706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36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47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49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25" w:type="dxa"/>
            <w:vAlign w:val="center"/>
          </w:tcPr>
          <w:p w:rsidR="000E2899" w:rsidRPr="00501425" w:rsidRDefault="000E2899" w:rsidP="00B44D3F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B4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B44D3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810E76" w:rsidRPr="00145F88" w:rsidRDefault="00810E76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36" w:type="dxa"/>
          </w:tcPr>
          <w:p w:rsidR="00810E76" w:rsidRPr="00D908F5" w:rsidRDefault="00810E76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36" w:type="dxa"/>
          </w:tcPr>
          <w:p w:rsidR="00810E76" w:rsidRPr="00394A23" w:rsidRDefault="00810E76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36" w:type="dxa"/>
          </w:tcPr>
          <w:p w:rsidR="00810E76" w:rsidRPr="00D908F5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Pr="00145F88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36" w:type="dxa"/>
          </w:tcPr>
          <w:p w:rsidR="00810E76" w:rsidRPr="002C5101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145F88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36" w:type="dxa"/>
          </w:tcPr>
          <w:p w:rsidR="00810E76" w:rsidRPr="00D908F5" w:rsidRDefault="00810E76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36" w:type="dxa"/>
          </w:tcPr>
          <w:p w:rsidR="00810E76" w:rsidRPr="00D908F5" w:rsidRDefault="00810E76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47" w:type="dxa"/>
            <w:vAlign w:val="center"/>
          </w:tcPr>
          <w:p w:rsidR="00810E76" w:rsidRDefault="00810E76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810E76" w:rsidRPr="00263B94" w:rsidRDefault="00810E76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847" w:type="dxa"/>
            <w:vAlign w:val="center"/>
          </w:tcPr>
          <w:p w:rsidR="00810E76" w:rsidRPr="00263B94" w:rsidRDefault="00810E76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810E76" w:rsidRDefault="00810E76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36" w:type="dxa"/>
          </w:tcPr>
          <w:p w:rsidR="00810E76" w:rsidRPr="00617909" w:rsidRDefault="00810E76" w:rsidP="004A7AB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gồm: 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Chủ trương, chỉ đạo, các văn bản quy định, phân công, phân cấp, hướng dẫn của lãnh đạo cấp trên về việc thực hiện chuyên đề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báo cáo đề nghị lập hồ sơ chuyên đề; ...</w:t>
            </w:r>
            <w:r w:rsidRPr="0061790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bottom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36" w:type="dxa"/>
            <w:tcBorders>
              <w:bottom w:val="dashSmallGap" w:sz="4" w:space="0" w:color="auto"/>
            </w:tcBorders>
          </w:tcPr>
          <w:p w:rsidR="00810E76" w:rsidRPr="006E1612" w:rsidRDefault="00810E76" w:rsidP="00810FC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chỉ đạo,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>thực hiện từng chuyên đề</w:t>
            </w:r>
            <w:r>
              <w:rPr>
                <w:rFonts w:ascii="Times New Roman" w:hAnsi="Times New Roman"/>
                <w:sz w:val="24"/>
                <w:szCs w:val="24"/>
              </w:rPr>
              <w:t>, phương án, kế hoạch công tác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nghiệp vụ</w:t>
            </w:r>
            <w:r>
              <w:rPr>
                <w:rFonts w:ascii="Times New Roman" w:hAnsi="Times New Roman"/>
                <w:sz w:val="24"/>
                <w:szCs w:val="24"/>
              </w:rPr>
              <w:t>, biện pháp công tác công an</w:t>
            </w:r>
            <w:r w:rsidRPr="006E1612">
              <w:rPr>
                <w:rFonts w:ascii="Times New Roman" w:hAnsi="Times New Roman"/>
                <w:sz w:val="24"/>
                <w:szCs w:val="24"/>
              </w:rPr>
              <w:t xml:space="preserve"> của đơn vị</w:t>
            </w:r>
            <w:r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47" w:type="dxa"/>
            <w:tcBorders>
              <w:bottom w:val="dashSmallGap" w:sz="4" w:space="0" w:color="auto"/>
            </w:tcBorders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810FC1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Các kế hoạch, biện pháp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triển khai 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đối với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CB410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CB4103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B44D3F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kết quả nghiên cứu, tổ chức thực hiện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theo dõi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từng chuyên đề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công tác nghiệp vụ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0E76" w:rsidRPr="004D0828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Pr="004D0828" w:rsidRDefault="00810E76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4D082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thu thập được qua các nguồn, các biện pháp công tác công an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0E76" w:rsidRPr="00074F61" w:rsidRDefault="00810E76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4F6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dashSmallGap" w:sz="4" w:space="0" w:color="auto"/>
              <w:left w:val="dashSmallGap" w:sz="4" w:space="0" w:color="auto"/>
            </w:tcBorders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36" w:type="dxa"/>
          </w:tcPr>
          <w:p w:rsidR="00810E76" w:rsidRPr="00B55F9B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kết quả, báo cáo định kỳ, báo cáo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>sơ kết, tổng kết đối với từng chuyên đề nghiệp vụ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quy định.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36" w:type="dxa"/>
          </w:tcPr>
          <w:p w:rsidR="00810E76" w:rsidRPr="00074F61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từng công tác nghiệp vụ, với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của hồ sơ NV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7" w:type="dxa"/>
            <w:vAlign w:val="center"/>
          </w:tcPr>
          <w:p w:rsidR="00810E76" w:rsidRPr="004E26DE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36" w:type="dxa"/>
          </w:tcPr>
          <w:p w:rsidR="00810E76" w:rsidRPr="002C6B5E" w:rsidRDefault="00810E76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Default="00810E76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5" w:type="dxa"/>
          </w:tcPr>
          <w:p w:rsidR="00810E76" w:rsidRDefault="00810E76" w:rsidP="00725D99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36" w:type="dxa"/>
          </w:tcPr>
          <w:p w:rsidR="00810E76" w:rsidRPr="00894C51" w:rsidRDefault="00810E76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47" w:type="dxa"/>
            <w:vAlign w:val="center"/>
          </w:tcPr>
          <w:p w:rsidR="00810E76" w:rsidRPr="00E06597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36" w:type="dxa"/>
          </w:tcPr>
          <w:p w:rsidR="00810E76" w:rsidRPr="00D940D9" w:rsidRDefault="00810E76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4469A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36" w:type="dxa"/>
          </w:tcPr>
          <w:p w:rsidR="00810E76" w:rsidRPr="00D940D9" w:rsidRDefault="00810E76" w:rsidP="00B44D3F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Pr="00894C51" w:rsidRDefault="00810E76" w:rsidP="00810FC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36" w:type="dxa"/>
          </w:tcPr>
          <w:p w:rsidR="00810E76" w:rsidRPr="00333A4D" w:rsidRDefault="00810E76" w:rsidP="00B44D3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B44D3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....)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7" w:type="dxa"/>
            <w:vAlign w:val="center"/>
          </w:tcPr>
          <w:p w:rsidR="00810E76" w:rsidRPr="00894C51" w:rsidRDefault="00810E76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49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E76" w:rsidRDefault="00810E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76" w:rsidTr="004469A4">
        <w:tc>
          <w:tcPr>
            <w:tcW w:w="706" w:type="dxa"/>
          </w:tcPr>
          <w:p w:rsidR="00810E76" w:rsidRDefault="00810E76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47" w:type="dxa"/>
            <w:vAlign w:val="center"/>
          </w:tcPr>
          <w:p w:rsidR="00810E76" w:rsidRPr="00E1287D" w:rsidRDefault="00810E76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810E76" w:rsidRDefault="00CB410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</w:tcPr>
          <w:p w:rsidR="00810E76" w:rsidRDefault="00CB410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1A5D" w:rsidRDefault="00751A5D" w:rsidP="006A54D4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810E76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810E76" w:rsidP="00332D8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CB4103">
        <w:rPr>
          <w:rFonts w:ascii="Times New Roman" w:hAnsi="Times New Roman" w:cs="Times New Roman"/>
          <w:i/>
          <w:sz w:val="28"/>
          <w:szCs w:val="28"/>
        </w:rPr>
        <w:t>12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CB4103">
        <w:rPr>
          <w:rFonts w:ascii="Times New Roman" w:hAnsi="Times New Roman" w:cs="Times New Roman"/>
          <w:i/>
          <w:sz w:val="28"/>
          <w:szCs w:val="28"/>
        </w:rPr>
        <w:t>03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CB4103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03FA2" w:rsidRPr="002179CE" w:rsidTr="00272ADB">
        <w:tc>
          <w:tcPr>
            <w:tcW w:w="2836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03FA2" w:rsidRPr="009C198F" w:rsidRDefault="00E03FA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03FA2" w:rsidRPr="002179CE" w:rsidRDefault="00E03FA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6A5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E3" w:rsidRDefault="008A5CE3" w:rsidP="003B3F5F">
      <w:pPr>
        <w:spacing w:after="0" w:line="240" w:lineRule="auto"/>
      </w:pPr>
      <w:r>
        <w:separator/>
      </w:r>
    </w:p>
  </w:endnote>
  <w:endnote w:type="continuationSeparator" w:id="0">
    <w:p w:rsidR="008A5CE3" w:rsidRDefault="008A5CE3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E3" w:rsidRDefault="008A5CE3" w:rsidP="003B3F5F">
      <w:pPr>
        <w:spacing w:after="0" w:line="240" w:lineRule="auto"/>
      </w:pPr>
      <w:r>
        <w:separator/>
      </w:r>
    </w:p>
  </w:footnote>
  <w:footnote w:type="continuationSeparator" w:id="0">
    <w:p w:rsidR="008A5CE3" w:rsidRDefault="008A5CE3" w:rsidP="003B3F5F">
      <w:pPr>
        <w:spacing w:after="0" w:line="240" w:lineRule="auto"/>
      </w:pPr>
      <w:r>
        <w:continuationSeparator/>
      </w:r>
    </w:p>
  </w:footnote>
  <w:footnote w:id="1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 xml:space="preserve">tỉnh/Công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7C2A8A" w:rsidRPr="001169BB" w:rsidRDefault="007C2A8A" w:rsidP="007C2A8A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B44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636576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636576">
        <w:rPr>
          <w:rFonts w:ascii="Times New Roman" w:hAnsi="Times New Roman" w:cs="Times New Roman"/>
        </w:rPr>
        <w:t>/Công an cấp xã</w:t>
      </w:r>
    </w:p>
  </w:footnote>
  <w:footnote w:id="3">
    <w:p w:rsidR="00B44D3F" w:rsidRDefault="00B44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810E76" w:rsidRPr="004D0828" w:rsidRDefault="00810E7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D0828">
        <w:rPr>
          <w:rFonts w:ascii="Times New Roman" w:hAnsi="Times New Roman" w:cs="Times New Roman"/>
        </w:rPr>
        <w:t xml:space="preserve">Nội dung </w:t>
      </w:r>
      <w:r>
        <w:rPr>
          <w:rFonts w:ascii="Times New Roman" w:hAnsi="Times New Roman" w:cs="Times New Roman"/>
        </w:rPr>
        <w:t xml:space="preserve">tiêu chí đối với từng hồ sơ NV </w:t>
      </w:r>
      <w:r w:rsidRPr="004D0828">
        <w:rPr>
          <w:rFonts w:ascii="Times New Roman" w:hAnsi="Times New Roman" w:cs="Times New Roman"/>
        </w:rPr>
        <w:t>cụ thể</w:t>
      </w:r>
      <w:r>
        <w:rPr>
          <w:rFonts w:ascii="Times New Roman" w:hAnsi="Times New Roman" w:cs="Times New Roman"/>
        </w:rPr>
        <w:t xml:space="preserve"> được chấm điểm phù hợp với cấu tạo của hồ sơ tương ứng.</w:t>
      </w:r>
    </w:p>
  </w:footnote>
  <w:footnote w:id="5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03FA2" w:rsidRPr="00E2377E" w:rsidRDefault="00E03FA2" w:rsidP="00E03FA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7A1D7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E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74F61"/>
    <w:rsid w:val="000B15FD"/>
    <w:rsid w:val="000C25DC"/>
    <w:rsid w:val="000C7831"/>
    <w:rsid w:val="000E2899"/>
    <w:rsid w:val="000E4513"/>
    <w:rsid w:val="001179EC"/>
    <w:rsid w:val="00162EC0"/>
    <w:rsid w:val="001B4DC3"/>
    <w:rsid w:val="001D7044"/>
    <w:rsid w:val="001E4E08"/>
    <w:rsid w:val="001F01D9"/>
    <w:rsid w:val="002265F3"/>
    <w:rsid w:val="002D5FF0"/>
    <w:rsid w:val="00315361"/>
    <w:rsid w:val="00332D8F"/>
    <w:rsid w:val="00353490"/>
    <w:rsid w:val="0037112A"/>
    <w:rsid w:val="0037420B"/>
    <w:rsid w:val="00385CAE"/>
    <w:rsid w:val="003A7356"/>
    <w:rsid w:val="003B3F5F"/>
    <w:rsid w:val="003F4D12"/>
    <w:rsid w:val="004469A4"/>
    <w:rsid w:val="004C4DAF"/>
    <w:rsid w:val="004C59F4"/>
    <w:rsid w:val="004C5AAD"/>
    <w:rsid w:val="004D0828"/>
    <w:rsid w:val="005008B4"/>
    <w:rsid w:val="00515724"/>
    <w:rsid w:val="00551E11"/>
    <w:rsid w:val="00580557"/>
    <w:rsid w:val="0060552F"/>
    <w:rsid w:val="00617909"/>
    <w:rsid w:val="00636576"/>
    <w:rsid w:val="0066672F"/>
    <w:rsid w:val="006A54D4"/>
    <w:rsid w:val="006A5F1F"/>
    <w:rsid w:val="006F2601"/>
    <w:rsid w:val="00751A5D"/>
    <w:rsid w:val="00756062"/>
    <w:rsid w:val="00765604"/>
    <w:rsid w:val="00785841"/>
    <w:rsid w:val="0079106D"/>
    <w:rsid w:val="007A1D7F"/>
    <w:rsid w:val="007A2E7C"/>
    <w:rsid w:val="007C2A8A"/>
    <w:rsid w:val="00810E76"/>
    <w:rsid w:val="00810FC1"/>
    <w:rsid w:val="00843DD7"/>
    <w:rsid w:val="008514EC"/>
    <w:rsid w:val="00852343"/>
    <w:rsid w:val="00860E9A"/>
    <w:rsid w:val="00870B50"/>
    <w:rsid w:val="008A5CE3"/>
    <w:rsid w:val="008B32C0"/>
    <w:rsid w:val="008B7BFC"/>
    <w:rsid w:val="008C301D"/>
    <w:rsid w:val="00956EAC"/>
    <w:rsid w:val="00994455"/>
    <w:rsid w:val="009E3164"/>
    <w:rsid w:val="00A24061"/>
    <w:rsid w:val="00A42F1C"/>
    <w:rsid w:val="00A44931"/>
    <w:rsid w:val="00A652C0"/>
    <w:rsid w:val="00A721CD"/>
    <w:rsid w:val="00AE036B"/>
    <w:rsid w:val="00B25808"/>
    <w:rsid w:val="00B25F19"/>
    <w:rsid w:val="00B42C35"/>
    <w:rsid w:val="00B44D3F"/>
    <w:rsid w:val="00B546C1"/>
    <w:rsid w:val="00B55F9B"/>
    <w:rsid w:val="00B71188"/>
    <w:rsid w:val="00BF7D76"/>
    <w:rsid w:val="00C13B1E"/>
    <w:rsid w:val="00CB4103"/>
    <w:rsid w:val="00CB5DDA"/>
    <w:rsid w:val="00D3281D"/>
    <w:rsid w:val="00D33736"/>
    <w:rsid w:val="00DC6F7A"/>
    <w:rsid w:val="00E03FA2"/>
    <w:rsid w:val="00E55E62"/>
    <w:rsid w:val="00E808EB"/>
    <w:rsid w:val="00E901B3"/>
    <w:rsid w:val="00E907A3"/>
    <w:rsid w:val="00EA0707"/>
    <w:rsid w:val="00EB7B57"/>
    <w:rsid w:val="00EF3ACE"/>
    <w:rsid w:val="00F45072"/>
    <w:rsid w:val="00F56E29"/>
    <w:rsid w:val="00F648AA"/>
    <w:rsid w:val="00F737F6"/>
    <w:rsid w:val="00F9090B"/>
    <w:rsid w:val="00FC34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88E0-E66E-4D53-97D0-484BEF23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49</cp:revision>
  <cp:lastPrinted>2024-03-12T08:04:00Z</cp:lastPrinted>
  <dcterms:created xsi:type="dcterms:W3CDTF">2021-05-12T03:56:00Z</dcterms:created>
  <dcterms:modified xsi:type="dcterms:W3CDTF">2024-03-12T08:07:00Z</dcterms:modified>
</cp:coreProperties>
</file>